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4220" w14:textId="77777777" w:rsidR="000C09E6" w:rsidRDefault="000C09E6" w:rsidP="005B5329">
      <w:pPr>
        <w:tabs>
          <w:tab w:val="left" w:pos="5590"/>
        </w:tabs>
        <w:spacing w:after="9"/>
        <w:ind w:right="341"/>
      </w:pPr>
      <w:r>
        <w:rPr>
          <w:noProof/>
        </w:rPr>
        <w:drawing>
          <wp:anchor distT="0" distB="0" distL="114300" distR="114300" simplePos="0" relativeHeight="251659264" behindDoc="0" locked="0" layoutInCell="1" allowOverlap="0" wp14:anchorId="54F29D30" wp14:editId="7A851A44">
            <wp:simplePos x="0" y="0"/>
            <wp:positionH relativeFrom="column">
              <wp:posOffset>-238125</wp:posOffset>
            </wp:positionH>
            <wp:positionV relativeFrom="paragraph">
              <wp:posOffset>5715</wp:posOffset>
            </wp:positionV>
            <wp:extent cx="1868170" cy="8610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868170" cy="861060"/>
                    </a:xfrm>
                    <a:prstGeom prst="rect">
                      <a:avLst/>
                    </a:prstGeom>
                  </pic:spPr>
                </pic:pic>
              </a:graphicData>
            </a:graphic>
          </wp:anchor>
        </w:drawing>
      </w:r>
    </w:p>
    <w:p w14:paraId="40C28EC1" w14:textId="77777777" w:rsidR="000C09E6" w:rsidRDefault="000C09E6" w:rsidP="000C09E6">
      <w:pPr>
        <w:spacing w:after="0"/>
        <w:ind w:right="47"/>
        <w:jc w:val="right"/>
      </w:pPr>
      <w:r>
        <w:rPr>
          <w:b/>
          <w:color w:val="0062C8"/>
          <w:sz w:val="20"/>
        </w:rPr>
        <w:t xml:space="preserve">NEWS RELEASE </w:t>
      </w:r>
    </w:p>
    <w:p w14:paraId="02EB66BF" w14:textId="77777777" w:rsidR="000C09E6" w:rsidRDefault="000C09E6" w:rsidP="000C09E6">
      <w:pPr>
        <w:spacing w:after="4" w:line="250" w:lineRule="auto"/>
        <w:ind w:right="35"/>
        <w:jc w:val="right"/>
      </w:pPr>
      <w:r>
        <w:rPr>
          <w:b/>
          <w:color w:val="0062C8"/>
          <w:sz w:val="20"/>
        </w:rPr>
        <w:t xml:space="preserve"> </w:t>
      </w:r>
      <w:r>
        <w:rPr>
          <w:color w:val="0062C8"/>
          <w:sz w:val="20"/>
        </w:rPr>
        <w:t>Orlando Utilities Commission</w:t>
      </w:r>
      <w:r>
        <w:rPr>
          <w:b/>
          <w:color w:val="0062C8"/>
          <w:sz w:val="20"/>
        </w:rPr>
        <w:t xml:space="preserve"> </w:t>
      </w:r>
    </w:p>
    <w:p w14:paraId="1BD15EB1" w14:textId="12CE04AC" w:rsidR="000C09E6" w:rsidRDefault="00DC6C88" w:rsidP="000C09E6">
      <w:pPr>
        <w:spacing w:after="4" w:line="250" w:lineRule="auto"/>
        <w:ind w:right="35"/>
        <w:jc w:val="right"/>
      </w:pPr>
      <w:r>
        <w:rPr>
          <w:color w:val="0062C8"/>
          <w:sz w:val="20"/>
        </w:rPr>
        <w:t>July</w:t>
      </w:r>
      <w:r w:rsidR="00B62AE4" w:rsidRPr="00482890">
        <w:rPr>
          <w:color w:val="0062C8"/>
          <w:sz w:val="20"/>
        </w:rPr>
        <w:t xml:space="preserve"> </w:t>
      </w:r>
      <w:r w:rsidR="000702EF" w:rsidRPr="000702EF">
        <w:rPr>
          <w:color w:val="0062C8"/>
          <w:sz w:val="20"/>
        </w:rPr>
        <w:t>24</w:t>
      </w:r>
      <w:r w:rsidR="000C069E" w:rsidRPr="000702EF">
        <w:rPr>
          <w:color w:val="0062C8"/>
          <w:sz w:val="20"/>
        </w:rPr>
        <w:t>,</w:t>
      </w:r>
      <w:r w:rsidR="00673599">
        <w:rPr>
          <w:color w:val="0062C8"/>
          <w:sz w:val="20"/>
        </w:rPr>
        <w:t xml:space="preserve"> 2023</w:t>
      </w:r>
    </w:p>
    <w:p w14:paraId="4A2A73B6" w14:textId="77777777" w:rsidR="000C09E6" w:rsidRDefault="000C09E6" w:rsidP="000C09E6">
      <w:pPr>
        <w:spacing w:after="4" w:line="250" w:lineRule="auto"/>
        <w:ind w:right="35"/>
        <w:jc w:val="right"/>
        <w:rPr>
          <w:color w:val="0062C8"/>
          <w:sz w:val="20"/>
        </w:rPr>
      </w:pPr>
      <w:r>
        <w:rPr>
          <w:color w:val="0062C8"/>
          <w:sz w:val="20"/>
        </w:rPr>
        <w:t>Contact</w:t>
      </w:r>
      <w:r w:rsidR="005B2CF2">
        <w:rPr>
          <w:color w:val="0062C8"/>
          <w:sz w:val="20"/>
        </w:rPr>
        <w:t>s</w:t>
      </w:r>
      <w:r>
        <w:rPr>
          <w:color w:val="0062C8"/>
          <w:sz w:val="20"/>
        </w:rPr>
        <w:t xml:space="preserve">: </w:t>
      </w:r>
      <w:r w:rsidR="003B4A12">
        <w:rPr>
          <w:color w:val="0062C8"/>
          <w:sz w:val="20"/>
        </w:rPr>
        <w:t>Julie Capps/Derek Hudson</w:t>
      </w:r>
      <w:r w:rsidR="005C2F77">
        <w:rPr>
          <w:color w:val="0062C8"/>
          <w:sz w:val="20"/>
        </w:rPr>
        <w:t xml:space="preserve">, </w:t>
      </w:r>
      <w:r w:rsidR="00B8574A">
        <w:rPr>
          <w:color w:val="0062C8"/>
          <w:sz w:val="20"/>
        </w:rPr>
        <w:t>407.434.2250</w:t>
      </w:r>
    </w:p>
    <w:p w14:paraId="59A5DB91" w14:textId="77777777" w:rsidR="000C09E6" w:rsidRDefault="000C09E6" w:rsidP="000C09E6">
      <w:pPr>
        <w:spacing w:after="4" w:line="250" w:lineRule="auto"/>
        <w:ind w:right="35"/>
        <w:jc w:val="right"/>
      </w:pPr>
      <w:r>
        <w:rPr>
          <w:color w:val="0563C1"/>
          <w:sz w:val="20"/>
          <w:u w:val="single" w:color="0563C1"/>
        </w:rPr>
        <w:t>MediaRelations@OUC.com</w:t>
      </w:r>
      <w:r>
        <w:rPr>
          <w:color w:val="0062C8"/>
          <w:sz w:val="20"/>
        </w:rPr>
        <w:t xml:space="preserve"> </w:t>
      </w:r>
    </w:p>
    <w:p w14:paraId="4AE52A55" w14:textId="77777777" w:rsidR="000C09E6" w:rsidRDefault="000C09E6" w:rsidP="000C09E6">
      <w:pPr>
        <w:spacing w:after="44"/>
        <w:jc w:val="right"/>
      </w:pPr>
      <w:r>
        <w:rPr>
          <w:b/>
          <w:color w:val="0062C8"/>
          <w:sz w:val="20"/>
        </w:rPr>
        <w:t xml:space="preserve"> </w:t>
      </w:r>
      <w:r>
        <w:rPr>
          <w:b/>
          <w:color w:val="0062C8"/>
          <w:sz w:val="20"/>
        </w:rPr>
        <w:tab/>
      </w:r>
      <w:r>
        <w:rPr>
          <w:color w:val="0062C8"/>
          <w:sz w:val="20"/>
        </w:rPr>
        <w:t xml:space="preserve">  </w:t>
      </w:r>
      <w:r>
        <w:rPr>
          <w:b/>
          <w:color w:val="0062C8"/>
          <w:sz w:val="20"/>
        </w:rPr>
        <w:t xml:space="preserve"> </w:t>
      </w:r>
    </w:p>
    <w:p w14:paraId="5495E4DB" w14:textId="77777777" w:rsidR="005B4CEB" w:rsidRDefault="00673599" w:rsidP="00452D13">
      <w:pPr>
        <w:pStyle w:val="Heading1"/>
        <w:spacing w:line="240" w:lineRule="auto"/>
        <w:rPr>
          <w:rFonts w:asciiTheme="minorHAnsi" w:hAnsiTheme="minorHAnsi" w:cstheme="minorHAnsi"/>
        </w:rPr>
      </w:pPr>
      <w:r>
        <w:rPr>
          <w:rFonts w:asciiTheme="minorHAnsi" w:hAnsiTheme="minorHAnsi" w:cstheme="minorHAnsi"/>
        </w:rPr>
        <w:t xml:space="preserve">OUC </w:t>
      </w:r>
      <w:r w:rsidR="00452D13">
        <w:rPr>
          <w:rFonts w:asciiTheme="minorHAnsi" w:hAnsiTheme="minorHAnsi" w:cstheme="minorHAnsi"/>
        </w:rPr>
        <w:t xml:space="preserve">PLANS GRAND OPENING OF EV CHARGING </w:t>
      </w:r>
      <w:r w:rsidR="003B4A12">
        <w:rPr>
          <w:rFonts w:asciiTheme="minorHAnsi" w:hAnsiTheme="minorHAnsi" w:cstheme="minorHAnsi"/>
        </w:rPr>
        <w:t>SUPERHUB</w:t>
      </w:r>
    </w:p>
    <w:p w14:paraId="15798791" w14:textId="332DED39" w:rsidR="00340B7A" w:rsidRDefault="00452D13" w:rsidP="00452D13">
      <w:pPr>
        <w:spacing w:after="0"/>
        <w:rPr>
          <w:i/>
          <w:sz w:val="24"/>
          <w:szCs w:val="24"/>
        </w:rPr>
      </w:pPr>
      <w:r>
        <w:rPr>
          <w:i/>
          <w:sz w:val="24"/>
          <w:szCs w:val="24"/>
        </w:rPr>
        <w:t xml:space="preserve">                     Robinson Recharge </w:t>
      </w:r>
      <w:r w:rsidR="002D53F8">
        <w:rPr>
          <w:i/>
          <w:sz w:val="24"/>
          <w:szCs w:val="24"/>
        </w:rPr>
        <w:t>Mobility Hub is equipped with 21</w:t>
      </w:r>
      <w:r>
        <w:rPr>
          <w:i/>
          <w:sz w:val="24"/>
          <w:szCs w:val="24"/>
        </w:rPr>
        <w:t xml:space="preserve"> high-speed</w:t>
      </w:r>
      <w:r w:rsidR="00774CBF">
        <w:rPr>
          <w:i/>
          <w:sz w:val="24"/>
          <w:szCs w:val="24"/>
        </w:rPr>
        <w:t xml:space="preserve"> EV</w:t>
      </w:r>
      <w:r>
        <w:rPr>
          <w:i/>
          <w:sz w:val="24"/>
          <w:szCs w:val="24"/>
        </w:rPr>
        <w:t xml:space="preserve"> chargers</w:t>
      </w:r>
    </w:p>
    <w:p w14:paraId="72528FA1" w14:textId="77777777" w:rsidR="00005F33" w:rsidRPr="00B77304" w:rsidRDefault="00005F33" w:rsidP="004146EE">
      <w:pPr>
        <w:spacing w:after="0"/>
        <w:jc w:val="center"/>
        <w:rPr>
          <w:i/>
          <w:sz w:val="24"/>
          <w:szCs w:val="24"/>
        </w:rPr>
      </w:pPr>
    </w:p>
    <w:p w14:paraId="645CF80A" w14:textId="110DC29D" w:rsidR="00DC6C88" w:rsidRDefault="00DA2A8B" w:rsidP="00405AAB">
      <w:r w:rsidRPr="00DF73B7">
        <w:rPr>
          <w:rFonts w:cstheme="minorHAnsi"/>
          <w:b/>
          <w:bCs/>
        </w:rPr>
        <w:t>ORLANDO, Fla.</w:t>
      </w:r>
      <w:r w:rsidRPr="00DF73B7">
        <w:rPr>
          <w:rFonts w:cstheme="minorHAnsi"/>
        </w:rPr>
        <w:t> –</w:t>
      </w:r>
      <w:r w:rsidR="00673599">
        <w:rPr>
          <w:rFonts w:cstheme="minorHAnsi"/>
        </w:rPr>
        <w:t xml:space="preserve"> </w:t>
      </w:r>
      <w:r w:rsidR="00DC6C88">
        <w:rPr>
          <w:rFonts w:cstheme="minorHAnsi"/>
        </w:rPr>
        <w:t xml:space="preserve"> The </w:t>
      </w:r>
      <w:r w:rsidR="00DC6C88" w:rsidRPr="00DC6C88">
        <w:rPr>
          <w:rFonts w:cstheme="minorHAnsi"/>
        </w:rPr>
        <w:t>Orlando Utilities Commission</w:t>
      </w:r>
      <w:r w:rsidR="00DC6C88">
        <w:rPr>
          <w:rFonts w:cstheme="minorHAnsi"/>
        </w:rPr>
        <w:t xml:space="preserve"> (OUC</w:t>
      </w:r>
      <w:r w:rsidR="002E3A02" w:rsidRPr="002E3A02">
        <w:t xml:space="preserve"> </w:t>
      </w:r>
      <w:r w:rsidR="002E3A02" w:rsidRPr="002E3A02">
        <w:rPr>
          <w:rFonts w:cstheme="minorHAnsi"/>
        </w:rPr>
        <w:t>—</w:t>
      </w:r>
      <w:r w:rsidR="00DC6C88">
        <w:rPr>
          <w:rFonts w:cstheme="minorHAnsi"/>
        </w:rPr>
        <w:t xml:space="preserve">The </w:t>
      </w:r>
      <w:r w:rsidR="00DC6C88" w:rsidRPr="00DC6C88">
        <w:rPr>
          <w:rFonts w:cstheme="minorHAnsi"/>
          <w:i/>
        </w:rPr>
        <w:t>Reliable</w:t>
      </w:r>
      <w:r w:rsidR="00DC6C88">
        <w:rPr>
          <w:rFonts w:cstheme="minorHAnsi"/>
        </w:rPr>
        <w:t xml:space="preserve"> One)</w:t>
      </w:r>
      <w:r w:rsidR="009A31AB">
        <w:t xml:space="preserve"> </w:t>
      </w:r>
      <w:r w:rsidR="00DC6C88">
        <w:t xml:space="preserve">will host a grand opening ceremony for the Robinson Recharge Mobility Hub, one of the largest electric vehicle (EV) charging stations in the state, starting </w:t>
      </w:r>
      <w:r w:rsidR="00DC6C88" w:rsidRPr="002B18E3">
        <w:t xml:space="preserve">at </w:t>
      </w:r>
      <w:r w:rsidR="0043123F" w:rsidRPr="002B18E3">
        <w:t>10:30</w:t>
      </w:r>
      <w:r w:rsidR="00DC6C88" w:rsidRPr="002B18E3">
        <w:t xml:space="preserve"> a.m. on July </w:t>
      </w:r>
      <w:r w:rsidR="0043123F" w:rsidRPr="002B18E3">
        <w:t>25</w:t>
      </w:r>
      <w:r w:rsidR="00DC6C88" w:rsidRPr="002B18E3">
        <w:t>, 2023.</w:t>
      </w:r>
      <w:r w:rsidR="00DC6C88">
        <w:t xml:space="preserve"> Located on </w:t>
      </w:r>
      <w:r w:rsidR="002B2A54">
        <w:t>129 W</w:t>
      </w:r>
      <w:r w:rsidR="00405AAB">
        <w:t>.</w:t>
      </w:r>
      <w:r w:rsidR="002B2A54">
        <w:t xml:space="preserve"> Robinson </w:t>
      </w:r>
      <w:r w:rsidR="00405AAB">
        <w:t>St. in downtown</w:t>
      </w:r>
      <w:r w:rsidR="002B2A54">
        <w:t xml:space="preserve"> Orlando</w:t>
      </w:r>
      <w:r w:rsidR="00DC6C88">
        <w:t>, the facility fe</w:t>
      </w:r>
      <w:r w:rsidR="002D53F8">
        <w:t>atures 21</w:t>
      </w:r>
      <w:r w:rsidR="00DC6C88">
        <w:t xml:space="preserve"> high-speed</w:t>
      </w:r>
      <w:r w:rsidR="00774CBF">
        <w:t xml:space="preserve"> EV</w:t>
      </w:r>
      <w:r w:rsidR="00DC6C88">
        <w:t xml:space="preserve"> chargers that </w:t>
      </w:r>
      <w:r w:rsidR="0027077B">
        <w:t xml:space="preserve">can be used </w:t>
      </w:r>
      <w:r w:rsidR="00774CBF">
        <w:t xml:space="preserve">for </w:t>
      </w:r>
      <w:r w:rsidR="0027077B">
        <w:t xml:space="preserve">all </w:t>
      </w:r>
      <w:r w:rsidR="006349B8">
        <w:t xml:space="preserve">makes of EVs. </w:t>
      </w:r>
    </w:p>
    <w:p w14:paraId="5DA48ED8" w14:textId="0A0FB0E3" w:rsidR="00DC6C88" w:rsidRDefault="00363D05" w:rsidP="005B4CEB">
      <w:pPr>
        <w:spacing w:line="240" w:lineRule="auto"/>
      </w:pPr>
      <w:r>
        <w:t xml:space="preserve">Speakers at the ribbon-cutting ceremony include Orlando Mayor </w:t>
      </w:r>
      <w:r w:rsidRPr="00BB041A">
        <w:rPr>
          <w:b/>
        </w:rPr>
        <w:t>Buddy Dyer</w:t>
      </w:r>
      <w:r>
        <w:t xml:space="preserve">, </w:t>
      </w:r>
      <w:r w:rsidR="0027077B">
        <w:t xml:space="preserve">Orlando City Commissioner </w:t>
      </w:r>
      <w:r w:rsidR="0027077B" w:rsidRPr="00747B0B">
        <w:rPr>
          <w:b/>
        </w:rPr>
        <w:t>Regina Hill</w:t>
      </w:r>
      <w:r w:rsidR="0027077B">
        <w:t xml:space="preserve"> (District 5), </w:t>
      </w:r>
      <w:r>
        <w:t xml:space="preserve">OUC Board President </w:t>
      </w:r>
      <w:r w:rsidRPr="00BB041A">
        <w:rPr>
          <w:b/>
        </w:rPr>
        <w:t>Britta Gross</w:t>
      </w:r>
      <w:r>
        <w:t xml:space="preserve"> and OUC General Manager &amp; CEO </w:t>
      </w:r>
      <w:r w:rsidRPr="00BB041A">
        <w:rPr>
          <w:b/>
        </w:rPr>
        <w:t>Clint Bullock</w:t>
      </w:r>
      <w:r>
        <w:t>.</w:t>
      </w:r>
      <w:r w:rsidR="006349B8">
        <w:t xml:space="preserve"> </w:t>
      </w:r>
    </w:p>
    <w:p w14:paraId="0D08CDF0" w14:textId="44377BBE" w:rsidR="00721755" w:rsidRDefault="006349B8" w:rsidP="005B4CEB">
      <w:pPr>
        <w:spacing w:line="240" w:lineRule="auto"/>
      </w:pPr>
      <w:r>
        <w:t xml:space="preserve">“The Robinson Recharge Mobility Hub marks our </w:t>
      </w:r>
      <w:r w:rsidR="00774CBF">
        <w:t xml:space="preserve">single </w:t>
      </w:r>
      <w:r>
        <w:t xml:space="preserve">most substantial </w:t>
      </w:r>
      <w:r w:rsidR="00B420BB">
        <w:t>investment in building robust EV charging infrastructure in Orlando,” said Bullock. “</w:t>
      </w:r>
      <w:r w:rsidR="004612C0">
        <w:t xml:space="preserve">We’re </w:t>
      </w:r>
      <w:r w:rsidR="00721755">
        <w:t xml:space="preserve">extremely proud </w:t>
      </w:r>
      <w:r w:rsidR="00742B66">
        <w:t>of this project, as convenient access to high-speed</w:t>
      </w:r>
      <w:r w:rsidR="00774CBF">
        <w:t xml:space="preserve"> EV</w:t>
      </w:r>
      <w:r w:rsidR="00742B66">
        <w:t xml:space="preserve"> chargers makes EV ownership more attractive</w:t>
      </w:r>
      <w:r w:rsidR="00553536">
        <w:t>,</w:t>
      </w:r>
      <w:r w:rsidR="00742B66">
        <w:t xml:space="preserve"> </w:t>
      </w:r>
      <w:r w:rsidR="00553536">
        <w:t xml:space="preserve">and more EVs on the road </w:t>
      </w:r>
      <w:r w:rsidR="00C278D3">
        <w:t xml:space="preserve">will mean a </w:t>
      </w:r>
      <w:r w:rsidR="004612C0">
        <w:t xml:space="preserve">greater </w:t>
      </w:r>
      <w:r w:rsidR="00294F6C">
        <w:t xml:space="preserve">reduction in </w:t>
      </w:r>
      <w:r w:rsidR="00CF3F1E">
        <w:t>C</w:t>
      </w:r>
      <w:r w:rsidR="005328CB">
        <w:t>O2</w:t>
      </w:r>
      <w:r w:rsidR="00294F6C">
        <w:t xml:space="preserve"> emissions</w:t>
      </w:r>
      <w:r w:rsidR="00742B66">
        <w:t>.</w:t>
      </w:r>
      <w:r w:rsidR="00294F6C">
        <w:t xml:space="preserve"> The site further complements OUC’s efforts to</w:t>
      </w:r>
      <w:r w:rsidR="0027077B">
        <w:t xml:space="preserve"> ensure Central Florida remains a national leader in EV readiness</w:t>
      </w:r>
      <w:r w:rsidR="00294F6C">
        <w:t>.</w:t>
      </w:r>
      <w:r w:rsidR="00742B66">
        <w:t xml:space="preserve">” </w:t>
      </w:r>
      <w:r w:rsidR="00721755">
        <w:t xml:space="preserve"> </w:t>
      </w:r>
    </w:p>
    <w:p w14:paraId="25D11F05" w14:textId="10C2772C" w:rsidR="0039217F" w:rsidRDefault="00553536" w:rsidP="0039217F">
      <w:pPr>
        <w:spacing w:line="240" w:lineRule="auto"/>
        <w:rPr>
          <w:rFonts w:cstheme="minorHAnsi"/>
        </w:rPr>
      </w:pPr>
      <w:r w:rsidRPr="00C513AF">
        <w:rPr>
          <w:rFonts w:cstheme="minorHAnsi"/>
        </w:rPr>
        <w:t xml:space="preserve">The hub, which is equipped with six </w:t>
      </w:r>
      <w:r w:rsidR="00974E22">
        <w:rPr>
          <w:rFonts w:cstheme="minorHAnsi"/>
        </w:rPr>
        <w:t>240</w:t>
      </w:r>
      <w:r w:rsidR="002D53F8">
        <w:rPr>
          <w:rFonts w:cstheme="minorHAnsi"/>
        </w:rPr>
        <w:t>-kilowatt (kW) and 15</w:t>
      </w:r>
      <w:bookmarkStart w:id="0" w:name="_GoBack"/>
      <w:bookmarkEnd w:id="0"/>
      <w:r w:rsidRPr="00C513AF">
        <w:rPr>
          <w:rFonts w:cstheme="minorHAnsi"/>
        </w:rPr>
        <w:t xml:space="preserve"> 120kW Level 3-rated charging dispensers, is part of OUC’s </w:t>
      </w:r>
      <w:r w:rsidR="00824C9C">
        <w:rPr>
          <w:rFonts w:cstheme="minorHAnsi"/>
        </w:rPr>
        <w:t xml:space="preserve">$45 million </w:t>
      </w:r>
      <w:r w:rsidRPr="00C513AF">
        <w:rPr>
          <w:rFonts w:cstheme="minorHAnsi"/>
        </w:rPr>
        <w:t>commitment t</w:t>
      </w:r>
      <w:r w:rsidR="0002417E">
        <w:rPr>
          <w:rFonts w:cstheme="minorHAnsi"/>
        </w:rPr>
        <w:t xml:space="preserve">o </w:t>
      </w:r>
      <w:r w:rsidR="005D67EA">
        <w:rPr>
          <w:rFonts w:cstheme="minorHAnsi"/>
        </w:rPr>
        <w:t>support the transition to</w:t>
      </w:r>
      <w:r w:rsidR="005D67EA" w:rsidRPr="00C513AF">
        <w:rPr>
          <w:rFonts w:cstheme="minorHAnsi"/>
        </w:rPr>
        <w:t xml:space="preserve"> </w:t>
      </w:r>
      <w:r w:rsidRPr="00C513AF">
        <w:rPr>
          <w:rFonts w:cstheme="minorHAnsi"/>
        </w:rPr>
        <w:t xml:space="preserve">transportation electrification. </w:t>
      </w:r>
      <w:r w:rsidR="003113AE">
        <w:rPr>
          <w:rFonts w:cstheme="minorHAnsi"/>
          <w:color w:val="000000"/>
        </w:rPr>
        <w:t>Funds from a</w:t>
      </w:r>
      <w:r w:rsidR="00C513AF" w:rsidRPr="00C513AF">
        <w:rPr>
          <w:rFonts w:cstheme="minorHAnsi"/>
          <w:color w:val="000000"/>
        </w:rPr>
        <w:t xml:space="preserve"> $500,000 grant </w:t>
      </w:r>
      <w:r w:rsidR="003113AE">
        <w:rPr>
          <w:rFonts w:cstheme="minorHAnsi"/>
          <w:color w:val="000000"/>
        </w:rPr>
        <w:t xml:space="preserve">from the Florida Department of Environmental Protection (DEP) were used to partially pay for the hub. </w:t>
      </w:r>
      <w:r w:rsidR="00C513AF">
        <w:rPr>
          <w:rFonts w:cstheme="minorHAnsi"/>
          <w:color w:val="000000"/>
        </w:rPr>
        <w:t xml:space="preserve">EV charger manufacturer </w:t>
      </w:r>
      <w:r w:rsidR="00C513AF" w:rsidRPr="00C513AF">
        <w:rPr>
          <w:rFonts w:cstheme="minorHAnsi"/>
          <w:color w:val="000000"/>
        </w:rPr>
        <w:t xml:space="preserve">Power Electronics, the City of Orlando and Orange County </w:t>
      </w:r>
      <w:r w:rsidR="003113AE">
        <w:rPr>
          <w:rFonts w:cstheme="minorHAnsi"/>
          <w:color w:val="000000"/>
        </w:rPr>
        <w:t xml:space="preserve">helped secure that grant. </w:t>
      </w:r>
      <w:r w:rsidR="00C513AF" w:rsidRPr="00C513AF">
        <w:rPr>
          <w:rFonts w:cstheme="minorHAnsi"/>
          <w:color w:val="000000"/>
        </w:rPr>
        <w:t xml:space="preserve">OUC </w:t>
      </w:r>
      <w:r w:rsidR="003113AE">
        <w:rPr>
          <w:rFonts w:cstheme="minorHAnsi"/>
          <w:color w:val="000000"/>
        </w:rPr>
        <w:t xml:space="preserve">and Power Electronics </w:t>
      </w:r>
      <w:r w:rsidR="00C513AF" w:rsidRPr="00C513AF">
        <w:rPr>
          <w:rFonts w:cstheme="minorHAnsi"/>
          <w:color w:val="000000"/>
        </w:rPr>
        <w:t xml:space="preserve">covered the remaining </w:t>
      </w:r>
      <w:r w:rsidR="004612C0">
        <w:rPr>
          <w:rFonts w:cstheme="minorHAnsi"/>
          <w:color w:val="000000"/>
        </w:rPr>
        <w:t xml:space="preserve">project </w:t>
      </w:r>
      <w:r w:rsidR="00C513AF" w:rsidRPr="00C513AF">
        <w:rPr>
          <w:rFonts w:cstheme="minorHAnsi"/>
          <w:color w:val="000000"/>
        </w:rPr>
        <w:t xml:space="preserve">costs and </w:t>
      </w:r>
      <w:r w:rsidR="00774CBF">
        <w:rPr>
          <w:rFonts w:cstheme="minorHAnsi"/>
          <w:color w:val="000000"/>
        </w:rPr>
        <w:t xml:space="preserve">OUC </w:t>
      </w:r>
      <w:r w:rsidR="00C513AF" w:rsidRPr="00C513AF">
        <w:rPr>
          <w:rFonts w:cstheme="minorHAnsi"/>
          <w:color w:val="000000"/>
        </w:rPr>
        <w:t>donated property</w:t>
      </w:r>
      <w:r w:rsidR="0039217F">
        <w:rPr>
          <w:rFonts w:cstheme="minorHAnsi"/>
          <w:color w:val="000000"/>
        </w:rPr>
        <w:t xml:space="preserve"> </w:t>
      </w:r>
      <w:r w:rsidR="004612C0">
        <w:rPr>
          <w:rFonts w:cstheme="minorHAnsi"/>
          <w:color w:val="000000"/>
        </w:rPr>
        <w:t xml:space="preserve">for </w:t>
      </w:r>
      <w:r w:rsidR="0039217F">
        <w:rPr>
          <w:rFonts w:cstheme="minorHAnsi"/>
          <w:color w:val="000000"/>
        </w:rPr>
        <w:t>the hub</w:t>
      </w:r>
      <w:r w:rsidR="00C513AF" w:rsidRPr="00C513AF">
        <w:rPr>
          <w:rFonts w:cstheme="minorHAnsi"/>
          <w:color w:val="000000"/>
        </w:rPr>
        <w:t>. CHA Engineering oversaw site engineering while Aireko Construction built the facility.</w:t>
      </w:r>
      <w:r w:rsidR="00974E22">
        <w:rPr>
          <w:rFonts w:cstheme="minorHAnsi"/>
          <w:color w:val="000000"/>
        </w:rPr>
        <w:t xml:space="preserve"> The site utilizes Orlando-based NovaCharge’s ChargeUp application for </w:t>
      </w:r>
      <w:r w:rsidR="00C44112">
        <w:rPr>
          <w:rFonts w:cstheme="minorHAnsi"/>
          <w:color w:val="000000"/>
        </w:rPr>
        <w:t>point-of-sale</w:t>
      </w:r>
      <w:r w:rsidR="00974E22">
        <w:rPr>
          <w:rFonts w:cstheme="minorHAnsi"/>
          <w:color w:val="000000"/>
        </w:rPr>
        <w:t xml:space="preserve"> transaction management.</w:t>
      </w:r>
    </w:p>
    <w:p w14:paraId="629FCA72" w14:textId="49E9A102" w:rsidR="000D2B85" w:rsidRPr="0039217F" w:rsidRDefault="00052DD7" w:rsidP="0039217F">
      <w:pPr>
        <w:spacing w:line="240" w:lineRule="auto"/>
        <w:rPr>
          <w:rFonts w:cstheme="minorHAnsi"/>
        </w:rPr>
      </w:pPr>
      <w:r>
        <w:rPr>
          <w:rFonts w:cstheme="minorHAnsi"/>
          <w:color w:val="000000"/>
        </w:rPr>
        <w:t xml:space="preserve">In 2022, </w:t>
      </w:r>
      <w:r w:rsidR="009E5913" w:rsidRPr="009E5913">
        <w:rPr>
          <w:rFonts w:cstheme="minorHAnsi"/>
          <w:color w:val="000000"/>
        </w:rPr>
        <w:t xml:space="preserve">DEP awarded the OUC-led </w:t>
      </w:r>
      <w:r w:rsidR="009E5913">
        <w:rPr>
          <w:rFonts w:cstheme="minorHAnsi"/>
          <w:color w:val="000000"/>
        </w:rPr>
        <w:t xml:space="preserve">EV hub </w:t>
      </w:r>
      <w:r w:rsidR="009E5913" w:rsidRPr="009E5913">
        <w:rPr>
          <w:rFonts w:cstheme="minorHAnsi"/>
          <w:color w:val="000000"/>
        </w:rPr>
        <w:t xml:space="preserve">partnership </w:t>
      </w:r>
      <w:r>
        <w:rPr>
          <w:rFonts w:cstheme="minorHAnsi"/>
          <w:color w:val="000000"/>
        </w:rPr>
        <w:t>a second</w:t>
      </w:r>
      <w:r w:rsidR="00C513AF" w:rsidRPr="009E5913">
        <w:rPr>
          <w:rFonts w:cstheme="minorHAnsi"/>
          <w:color w:val="000000"/>
        </w:rPr>
        <w:t xml:space="preserve"> $</w:t>
      </w:r>
      <w:r w:rsidR="00AF7160">
        <w:rPr>
          <w:rFonts w:cstheme="minorHAnsi"/>
          <w:color w:val="000000"/>
        </w:rPr>
        <w:t>266,8</w:t>
      </w:r>
      <w:r w:rsidR="00C513AF" w:rsidRPr="009E5913">
        <w:rPr>
          <w:rFonts w:cstheme="minorHAnsi"/>
          <w:color w:val="000000"/>
        </w:rPr>
        <w:t xml:space="preserve">00 grant to build a high-speed </w:t>
      </w:r>
      <w:r w:rsidR="00774CBF">
        <w:rPr>
          <w:rFonts w:cstheme="minorHAnsi"/>
          <w:color w:val="000000"/>
        </w:rPr>
        <w:t xml:space="preserve">EV </w:t>
      </w:r>
      <w:r w:rsidR="00C513AF" w:rsidRPr="009E5913">
        <w:rPr>
          <w:rFonts w:cstheme="minorHAnsi"/>
          <w:color w:val="000000"/>
        </w:rPr>
        <w:t xml:space="preserve">charging </w:t>
      </w:r>
      <w:r w:rsidR="009E5913">
        <w:rPr>
          <w:rFonts w:cstheme="minorHAnsi"/>
          <w:color w:val="000000"/>
        </w:rPr>
        <w:t>facility</w:t>
      </w:r>
      <w:r w:rsidR="00C513AF" w:rsidRPr="009E5913">
        <w:rPr>
          <w:rFonts w:cstheme="minorHAnsi"/>
          <w:color w:val="000000"/>
        </w:rPr>
        <w:t xml:space="preserve"> at the Orange County Convention Center South Concourse parking lot. Construction is anticipated to begin this fall. The site will initially offer </w:t>
      </w:r>
      <w:r w:rsidR="005D67EA">
        <w:rPr>
          <w:rFonts w:cstheme="minorHAnsi"/>
          <w:color w:val="000000"/>
        </w:rPr>
        <w:t>six</w:t>
      </w:r>
      <w:r w:rsidR="00C513AF" w:rsidRPr="009E5913">
        <w:rPr>
          <w:rFonts w:cstheme="minorHAnsi"/>
          <w:color w:val="000000"/>
        </w:rPr>
        <w:t xml:space="preserve"> 240kW </w:t>
      </w:r>
      <w:r w:rsidR="00774CBF">
        <w:rPr>
          <w:rFonts w:cstheme="minorHAnsi"/>
          <w:color w:val="000000"/>
        </w:rPr>
        <w:t xml:space="preserve">Level 3-rated charging </w:t>
      </w:r>
      <w:r w:rsidR="00C513AF" w:rsidRPr="009E5913">
        <w:rPr>
          <w:rFonts w:cstheme="minorHAnsi"/>
          <w:color w:val="000000"/>
        </w:rPr>
        <w:t>dispensers</w:t>
      </w:r>
      <w:r w:rsidR="00CF3F1E">
        <w:rPr>
          <w:rFonts w:cstheme="minorHAnsi"/>
          <w:color w:val="000000"/>
        </w:rPr>
        <w:t>,</w:t>
      </w:r>
      <w:r w:rsidR="00C513AF" w:rsidRPr="009E5913">
        <w:rPr>
          <w:rFonts w:cstheme="minorHAnsi"/>
          <w:color w:val="000000"/>
        </w:rPr>
        <w:t xml:space="preserve"> but could add as many as 12 Level </w:t>
      </w:r>
      <w:r w:rsidR="00AF7160">
        <w:rPr>
          <w:rFonts w:cstheme="minorHAnsi"/>
          <w:color w:val="000000"/>
        </w:rPr>
        <w:t>3</w:t>
      </w:r>
      <w:r w:rsidR="00C513AF" w:rsidRPr="009E5913">
        <w:rPr>
          <w:rFonts w:cstheme="minorHAnsi"/>
          <w:color w:val="000000"/>
        </w:rPr>
        <w:t xml:space="preserve"> chargers in the future. OUC plans to </w:t>
      </w:r>
      <w:r w:rsidR="00977793">
        <w:rPr>
          <w:rFonts w:cstheme="minorHAnsi"/>
          <w:color w:val="000000"/>
        </w:rPr>
        <w:t>facilitate</w:t>
      </w:r>
      <w:r w:rsidR="00080E01">
        <w:rPr>
          <w:rFonts w:cstheme="minorHAnsi"/>
          <w:color w:val="000000"/>
        </w:rPr>
        <w:t xml:space="preserve"> the launch of</w:t>
      </w:r>
      <w:r w:rsidR="00080E01" w:rsidRPr="009E5913">
        <w:rPr>
          <w:rFonts w:cstheme="minorHAnsi"/>
          <w:color w:val="000000"/>
        </w:rPr>
        <w:t xml:space="preserve"> </w:t>
      </w:r>
      <w:r w:rsidR="00C513AF" w:rsidRPr="009E5913">
        <w:rPr>
          <w:rFonts w:cstheme="minorHAnsi"/>
          <w:color w:val="000000"/>
        </w:rPr>
        <w:t>six more charging hubs by 2030.</w:t>
      </w:r>
    </w:p>
    <w:p w14:paraId="27266A22" w14:textId="77777777" w:rsidR="00F86080" w:rsidRPr="00275BFF" w:rsidRDefault="00F86080" w:rsidP="00F86080">
      <w:pPr>
        <w:pStyle w:val="NormalWeb"/>
        <w:spacing w:before="0" w:beforeAutospacing="0" w:after="0" w:afterAutospacing="0"/>
        <w:jc w:val="center"/>
        <w:rPr>
          <w:rStyle w:val="Emphasis"/>
          <w:rFonts w:asciiTheme="minorHAnsi" w:hAnsiTheme="minorHAnsi" w:cstheme="minorHAnsi"/>
          <w:b/>
          <w:bCs/>
        </w:rPr>
      </w:pPr>
      <w:r w:rsidRPr="00275BFF">
        <w:rPr>
          <w:rStyle w:val="Emphasis"/>
          <w:rFonts w:asciiTheme="minorHAnsi" w:hAnsiTheme="minorHAnsi" w:cstheme="minorHAnsi"/>
          <w:b/>
          <w:bCs/>
        </w:rPr>
        <w:t>###</w:t>
      </w:r>
    </w:p>
    <w:p w14:paraId="07C2515A" w14:textId="77777777" w:rsidR="00F86080" w:rsidRPr="00275BFF" w:rsidRDefault="00F86080" w:rsidP="00F86080">
      <w:pPr>
        <w:pStyle w:val="NormalWeb"/>
        <w:spacing w:before="0" w:beforeAutospacing="0" w:after="0" w:afterAutospacing="0"/>
        <w:rPr>
          <w:rFonts w:asciiTheme="minorHAnsi" w:hAnsiTheme="minorHAnsi" w:cstheme="minorHAnsi"/>
        </w:rPr>
      </w:pPr>
      <w:r w:rsidRPr="00275BFF">
        <w:rPr>
          <w:rStyle w:val="Emphasis"/>
          <w:rFonts w:asciiTheme="minorHAnsi" w:hAnsiTheme="minorHAnsi" w:cstheme="minorHAnsi"/>
          <w:b/>
          <w:bCs/>
        </w:rPr>
        <w:br/>
      </w:r>
      <w:bookmarkStart w:id="1" w:name="_Hlk139980684"/>
      <w:r w:rsidRPr="00275BFF">
        <w:rPr>
          <w:rStyle w:val="Emphasis"/>
          <w:rFonts w:asciiTheme="minorHAnsi" w:hAnsiTheme="minorHAnsi" w:cstheme="minorHAnsi"/>
          <w:b/>
          <w:bCs/>
        </w:rPr>
        <w:t xml:space="preserve">About OUC—The </w:t>
      </w:r>
      <w:r w:rsidRPr="00275BFF">
        <w:rPr>
          <w:rStyle w:val="Strong"/>
          <w:rFonts w:asciiTheme="minorHAnsi" w:hAnsiTheme="minorHAnsi" w:cstheme="minorHAnsi"/>
        </w:rPr>
        <w:t xml:space="preserve">Reliable </w:t>
      </w:r>
      <w:r w:rsidRPr="00275BFF">
        <w:rPr>
          <w:rStyle w:val="Emphasis"/>
          <w:rFonts w:asciiTheme="minorHAnsi" w:hAnsiTheme="minorHAnsi" w:cstheme="minorHAnsi"/>
          <w:b/>
          <w:bCs/>
        </w:rPr>
        <w:t>One</w:t>
      </w:r>
    </w:p>
    <w:p w14:paraId="44B7A99C" w14:textId="77777777" w:rsidR="00275BFF" w:rsidRPr="002E3A02" w:rsidRDefault="00294F6C" w:rsidP="00294F6C">
      <w:pPr>
        <w:pStyle w:val="NormalWeb"/>
        <w:spacing w:before="0" w:beforeAutospacing="0" w:after="0" w:afterAutospacing="0"/>
        <w:rPr>
          <w:rFonts w:ascii="Calibri" w:hAnsi="Calibri" w:cs="Calibri"/>
          <w:sz w:val="22"/>
          <w:szCs w:val="22"/>
        </w:rPr>
      </w:pPr>
      <w:r w:rsidRPr="002E3A02">
        <w:rPr>
          <w:rStyle w:val="Emphasis"/>
          <w:rFonts w:ascii="Calibri" w:eastAsia="Arial" w:hAnsi="Calibri" w:cs="Calibri"/>
          <w:color w:val="444444"/>
          <w:sz w:val="22"/>
          <w:szCs w:val="22"/>
        </w:rPr>
        <w:t>In June 2023, OUC—The Reliable One celebrate</w:t>
      </w:r>
      <w:r w:rsidR="004612C0" w:rsidRPr="002E3A02">
        <w:rPr>
          <w:rStyle w:val="Emphasis"/>
          <w:rFonts w:ascii="Calibri" w:eastAsia="Arial" w:hAnsi="Calibri" w:cs="Calibri"/>
          <w:color w:val="444444"/>
          <w:sz w:val="22"/>
          <w:szCs w:val="22"/>
        </w:rPr>
        <w:t>d</w:t>
      </w:r>
      <w:r w:rsidRPr="002E3A02">
        <w:rPr>
          <w:rStyle w:val="Emphasis"/>
          <w:rFonts w:ascii="Calibri" w:eastAsia="Arial" w:hAnsi="Calibri" w:cs="Calibri"/>
          <w:color w:val="444444"/>
          <w:sz w:val="22"/>
          <w:szCs w:val="22"/>
        </w:rPr>
        <w:t xml:space="preserve"> 100 years of providing exceptional value to its customers and community through the delivery of sustainable and reliable services and solutions. The utility provides electric, water, chilled water, lighting and solar services to more than 400,000 accounts in Orlando, St. Cloud and parts of unincorporated Orange and Osceola counties. As OUC prepares for the next century, it remains committed to its goal of achieving net zero carbon emissions by 2050 while supporting its community with conservation, sustainability and energy efficiency resources. Visit </w:t>
      </w:r>
      <w:hyperlink r:id="rId8" w:history="1">
        <w:r w:rsidRPr="002E3A02">
          <w:rPr>
            <w:rStyle w:val="Emphasis"/>
            <w:rFonts w:ascii="Calibri" w:eastAsia="Arial" w:hAnsi="Calibri" w:cs="Calibri"/>
            <w:color w:val="2482E1"/>
            <w:sz w:val="22"/>
            <w:szCs w:val="22"/>
          </w:rPr>
          <w:t>www.ouc.com</w:t>
        </w:r>
      </w:hyperlink>
      <w:r w:rsidRPr="002E3A02">
        <w:rPr>
          <w:rStyle w:val="Emphasis"/>
          <w:rFonts w:ascii="Calibri" w:eastAsia="Arial" w:hAnsi="Calibri" w:cs="Calibri"/>
          <w:color w:val="444444"/>
          <w:sz w:val="22"/>
          <w:szCs w:val="22"/>
        </w:rPr>
        <w:t> to learn more.</w:t>
      </w:r>
      <w:bookmarkEnd w:id="1"/>
    </w:p>
    <w:sectPr w:rsidR="00275BFF" w:rsidRPr="002E3A02" w:rsidSect="005B5329">
      <w:headerReference w:type="even" r:id="rId9"/>
      <w:headerReference w:type="default" r:id="rId10"/>
      <w:footerReference w:type="even" r:id="rId11"/>
      <w:footerReference w:type="default" r:id="rId12"/>
      <w:headerReference w:type="first" r:id="rId13"/>
      <w:footerReference w:type="first" r:id="rId14"/>
      <w:pgSz w:w="12240" w:h="15840" w:code="1"/>
      <w:pgMar w:top="1152" w:right="1296" w:bottom="1152"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5D14" w14:textId="77777777" w:rsidR="00343768" w:rsidRDefault="00343768" w:rsidP="00EF5B72">
      <w:pPr>
        <w:spacing w:after="0" w:line="240" w:lineRule="auto"/>
      </w:pPr>
      <w:r>
        <w:separator/>
      </w:r>
    </w:p>
  </w:endnote>
  <w:endnote w:type="continuationSeparator" w:id="0">
    <w:p w14:paraId="51B1F6A6" w14:textId="77777777" w:rsidR="00343768" w:rsidRDefault="00343768" w:rsidP="00EF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6D78" w14:textId="77777777" w:rsidR="00105F13" w:rsidRDefault="00105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1960" w14:textId="77777777" w:rsidR="003D3E86" w:rsidRDefault="0034376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A2C1" w14:textId="77777777" w:rsidR="00105F13" w:rsidRDefault="0010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B098" w14:textId="77777777" w:rsidR="00343768" w:rsidRDefault="00343768" w:rsidP="00EF5B72">
      <w:pPr>
        <w:spacing w:after="0" w:line="240" w:lineRule="auto"/>
      </w:pPr>
      <w:r>
        <w:separator/>
      </w:r>
    </w:p>
  </w:footnote>
  <w:footnote w:type="continuationSeparator" w:id="0">
    <w:p w14:paraId="6ED3F0FD" w14:textId="77777777" w:rsidR="00343768" w:rsidRDefault="00343768" w:rsidP="00EF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F67E" w14:textId="77777777" w:rsidR="00105F13" w:rsidRDefault="00105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955833"/>
      <w:docPartObj>
        <w:docPartGallery w:val="Watermarks"/>
        <w:docPartUnique/>
      </w:docPartObj>
    </w:sdtPr>
    <w:sdtEndPr/>
    <w:sdtContent>
      <w:p w14:paraId="666ABEA1" w14:textId="77777777" w:rsidR="003D3E86" w:rsidRDefault="00343768">
        <w:pPr>
          <w:pStyle w:val="BodyText"/>
          <w:spacing w:line="14" w:lineRule="auto"/>
        </w:pPr>
        <w:r>
          <w:rPr>
            <w:noProof/>
          </w:rPr>
          <w:pict w14:anchorId="2E591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042F" w14:textId="77777777" w:rsidR="00105F13" w:rsidRDefault="00105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947"/>
    <w:multiLevelType w:val="multilevel"/>
    <w:tmpl w:val="32EA8C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4286B90"/>
    <w:multiLevelType w:val="hybridMultilevel"/>
    <w:tmpl w:val="5E1E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E762B8"/>
    <w:multiLevelType w:val="hybridMultilevel"/>
    <w:tmpl w:val="ED8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48CB"/>
    <w:multiLevelType w:val="multilevel"/>
    <w:tmpl w:val="A558C16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4" w15:restartNumberingAfterBreak="0">
    <w:nsid w:val="512E0B91"/>
    <w:multiLevelType w:val="hybridMultilevel"/>
    <w:tmpl w:val="D510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9375C"/>
    <w:multiLevelType w:val="hybridMultilevel"/>
    <w:tmpl w:val="8858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D5A92"/>
    <w:multiLevelType w:val="hybridMultilevel"/>
    <w:tmpl w:val="A52E5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C6108"/>
    <w:multiLevelType w:val="hybridMultilevel"/>
    <w:tmpl w:val="65282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11FFC"/>
    <w:multiLevelType w:val="hybridMultilevel"/>
    <w:tmpl w:val="775A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01C1A"/>
    <w:multiLevelType w:val="hybridMultilevel"/>
    <w:tmpl w:val="6E3E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3"/>
  </w:num>
  <w:num w:numId="6">
    <w:abstractNumId w:val="2"/>
  </w:num>
  <w:num w:numId="7">
    <w:abstractNumId w:val="7"/>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E7"/>
    <w:rsid w:val="00000BD5"/>
    <w:rsid w:val="00004B00"/>
    <w:rsid w:val="00005F33"/>
    <w:rsid w:val="000159E3"/>
    <w:rsid w:val="00015FF8"/>
    <w:rsid w:val="0002417E"/>
    <w:rsid w:val="00052DD7"/>
    <w:rsid w:val="00057C6E"/>
    <w:rsid w:val="00060BDA"/>
    <w:rsid w:val="00066AE0"/>
    <w:rsid w:val="000702EF"/>
    <w:rsid w:val="00070E5C"/>
    <w:rsid w:val="000802F6"/>
    <w:rsid w:val="00080E01"/>
    <w:rsid w:val="000871CB"/>
    <w:rsid w:val="0009130F"/>
    <w:rsid w:val="000B419E"/>
    <w:rsid w:val="000B6709"/>
    <w:rsid w:val="000C069E"/>
    <w:rsid w:val="000C09E6"/>
    <w:rsid w:val="000C20AC"/>
    <w:rsid w:val="000D2B85"/>
    <w:rsid w:val="000D2DFB"/>
    <w:rsid w:val="000E0673"/>
    <w:rsid w:val="00100014"/>
    <w:rsid w:val="00105F13"/>
    <w:rsid w:val="0010691E"/>
    <w:rsid w:val="00122871"/>
    <w:rsid w:val="00166DA7"/>
    <w:rsid w:val="00172936"/>
    <w:rsid w:val="00181DEB"/>
    <w:rsid w:val="001A022B"/>
    <w:rsid w:val="001B1C8B"/>
    <w:rsid w:val="001C3EF1"/>
    <w:rsid w:val="001C6C2F"/>
    <w:rsid w:val="001C7365"/>
    <w:rsid w:val="001D472B"/>
    <w:rsid w:val="001F2AEE"/>
    <w:rsid w:val="001F610A"/>
    <w:rsid w:val="002041AD"/>
    <w:rsid w:val="002224EE"/>
    <w:rsid w:val="00227480"/>
    <w:rsid w:val="002323F2"/>
    <w:rsid w:val="00234AB1"/>
    <w:rsid w:val="00235EB5"/>
    <w:rsid w:val="0023623E"/>
    <w:rsid w:val="002426E6"/>
    <w:rsid w:val="0024399D"/>
    <w:rsid w:val="00245C84"/>
    <w:rsid w:val="0027077B"/>
    <w:rsid w:val="0027265F"/>
    <w:rsid w:val="00275BFF"/>
    <w:rsid w:val="002826C8"/>
    <w:rsid w:val="002903FA"/>
    <w:rsid w:val="00294F6C"/>
    <w:rsid w:val="002B18E3"/>
    <w:rsid w:val="002B2A54"/>
    <w:rsid w:val="002B3FE3"/>
    <w:rsid w:val="002C0B4C"/>
    <w:rsid w:val="002C2F0C"/>
    <w:rsid w:val="002D4258"/>
    <w:rsid w:val="002D53F8"/>
    <w:rsid w:val="002D5552"/>
    <w:rsid w:val="002E3A02"/>
    <w:rsid w:val="002F4637"/>
    <w:rsid w:val="002F47A5"/>
    <w:rsid w:val="002F7DC5"/>
    <w:rsid w:val="003021EF"/>
    <w:rsid w:val="0030725D"/>
    <w:rsid w:val="003113AE"/>
    <w:rsid w:val="00322555"/>
    <w:rsid w:val="00340B7A"/>
    <w:rsid w:val="00343768"/>
    <w:rsid w:val="00346CEC"/>
    <w:rsid w:val="00356F7B"/>
    <w:rsid w:val="003637AD"/>
    <w:rsid w:val="00363D05"/>
    <w:rsid w:val="00367375"/>
    <w:rsid w:val="00377496"/>
    <w:rsid w:val="00385023"/>
    <w:rsid w:val="00390238"/>
    <w:rsid w:val="0039217F"/>
    <w:rsid w:val="003B0D7A"/>
    <w:rsid w:val="003B4A12"/>
    <w:rsid w:val="003C07FD"/>
    <w:rsid w:val="003C4349"/>
    <w:rsid w:val="003E15EC"/>
    <w:rsid w:val="003E57B2"/>
    <w:rsid w:val="003F09CF"/>
    <w:rsid w:val="00405AAB"/>
    <w:rsid w:val="00406381"/>
    <w:rsid w:val="004146EE"/>
    <w:rsid w:val="004152E9"/>
    <w:rsid w:val="0043123F"/>
    <w:rsid w:val="00440E2A"/>
    <w:rsid w:val="0044186E"/>
    <w:rsid w:val="00445D07"/>
    <w:rsid w:val="00452D13"/>
    <w:rsid w:val="0045480B"/>
    <w:rsid w:val="00454CFB"/>
    <w:rsid w:val="004612C0"/>
    <w:rsid w:val="0047650B"/>
    <w:rsid w:val="00482890"/>
    <w:rsid w:val="004A07C4"/>
    <w:rsid w:val="004E309C"/>
    <w:rsid w:val="004F1209"/>
    <w:rsid w:val="00500F30"/>
    <w:rsid w:val="00502B5B"/>
    <w:rsid w:val="005153A5"/>
    <w:rsid w:val="0051651C"/>
    <w:rsid w:val="005328CB"/>
    <w:rsid w:val="0053422D"/>
    <w:rsid w:val="00541BF4"/>
    <w:rsid w:val="00545063"/>
    <w:rsid w:val="00553536"/>
    <w:rsid w:val="0057598A"/>
    <w:rsid w:val="00594ECF"/>
    <w:rsid w:val="005A130E"/>
    <w:rsid w:val="005A324B"/>
    <w:rsid w:val="005A528D"/>
    <w:rsid w:val="005B2CF2"/>
    <w:rsid w:val="005B4CEB"/>
    <w:rsid w:val="005B5329"/>
    <w:rsid w:val="005C133E"/>
    <w:rsid w:val="005C25AB"/>
    <w:rsid w:val="005C2F77"/>
    <w:rsid w:val="005C68E8"/>
    <w:rsid w:val="005D67EA"/>
    <w:rsid w:val="005E21A4"/>
    <w:rsid w:val="005E29CF"/>
    <w:rsid w:val="00601B2D"/>
    <w:rsid w:val="00607F58"/>
    <w:rsid w:val="00612763"/>
    <w:rsid w:val="00624A32"/>
    <w:rsid w:val="006275B7"/>
    <w:rsid w:val="00633158"/>
    <w:rsid w:val="006349B8"/>
    <w:rsid w:val="006409F7"/>
    <w:rsid w:val="0064794B"/>
    <w:rsid w:val="006556D0"/>
    <w:rsid w:val="00666B05"/>
    <w:rsid w:val="00673599"/>
    <w:rsid w:val="00687501"/>
    <w:rsid w:val="006971F4"/>
    <w:rsid w:val="006977B1"/>
    <w:rsid w:val="006B133B"/>
    <w:rsid w:val="006D25FD"/>
    <w:rsid w:val="006D4F1B"/>
    <w:rsid w:val="006F7655"/>
    <w:rsid w:val="0070126B"/>
    <w:rsid w:val="00721755"/>
    <w:rsid w:val="007226FD"/>
    <w:rsid w:val="0073354F"/>
    <w:rsid w:val="007377C8"/>
    <w:rsid w:val="00742B66"/>
    <w:rsid w:val="00743FF1"/>
    <w:rsid w:val="00747B0B"/>
    <w:rsid w:val="00750F75"/>
    <w:rsid w:val="007633AA"/>
    <w:rsid w:val="00764FCE"/>
    <w:rsid w:val="007660C5"/>
    <w:rsid w:val="00770B0D"/>
    <w:rsid w:val="00771F28"/>
    <w:rsid w:val="00774CBF"/>
    <w:rsid w:val="00781E9E"/>
    <w:rsid w:val="0078285D"/>
    <w:rsid w:val="007860AD"/>
    <w:rsid w:val="007B3C33"/>
    <w:rsid w:val="007B474F"/>
    <w:rsid w:val="007B7606"/>
    <w:rsid w:val="007D375B"/>
    <w:rsid w:val="007D72C6"/>
    <w:rsid w:val="007D73BB"/>
    <w:rsid w:val="007E2E96"/>
    <w:rsid w:val="008205E7"/>
    <w:rsid w:val="008234E2"/>
    <w:rsid w:val="00824C9C"/>
    <w:rsid w:val="008435E7"/>
    <w:rsid w:val="00847A31"/>
    <w:rsid w:val="00852BD8"/>
    <w:rsid w:val="00861C84"/>
    <w:rsid w:val="00866022"/>
    <w:rsid w:val="00895D80"/>
    <w:rsid w:val="008A1449"/>
    <w:rsid w:val="008D66A3"/>
    <w:rsid w:val="008E064F"/>
    <w:rsid w:val="008E68D7"/>
    <w:rsid w:val="008E75F8"/>
    <w:rsid w:val="0090012F"/>
    <w:rsid w:val="00904F44"/>
    <w:rsid w:val="00927D24"/>
    <w:rsid w:val="009325EE"/>
    <w:rsid w:val="009401C1"/>
    <w:rsid w:val="0094138B"/>
    <w:rsid w:val="00945F4B"/>
    <w:rsid w:val="00950003"/>
    <w:rsid w:val="00974E22"/>
    <w:rsid w:val="00977793"/>
    <w:rsid w:val="009808E2"/>
    <w:rsid w:val="009A31AB"/>
    <w:rsid w:val="009B06FA"/>
    <w:rsid w:val="009B7693"/>
    <w:rsid w:val="009C06AB"/>
    <w:rsid w:val="009C5F04"/>
    <w:rsid w:val="009E5913"/>
    <w:rsid w:val="009F2598"/>
    <w:rsid w:val="009F54E5"/>
    <w:rsid w:val="00A22F29"/>
    <w:rsid w:val="00A306A2"/>
    <w:rsid w:val="00A35C0F"/>
    <w:rsid w:val="00A367B6"/>
    <w:rsid w:val="00A42F0B"/>
    <w:rsid w:val="00A91947"/>
    <w:rsid w:val="00A91F58"/>
    <w:rsid w:val="00AA3DC2"/>
    <w:rsid w:val="00AB586A"/>
    <w:rsid w:val="00AF6DE0"/>
    <w:rsid w:val="00AF7160"/>
    <w:rsid w:val="00B30878"/>
    <w:rsid w:val="00B36132"/>
    <w:rsid w:val="00B420BB"/>
    <w:rsid w:val="00B51090"/>
    <w:rsid w:val="00B62AE4"/>
    <w:rsid w:val="00B77304"/>
    <w:rsid w:val="00B77DEA"/>
    <w:rsid w:val="00B81E03"/>
    <w:rsid w:val="00B82113"/>
    <w:rsid w:val="00B83B0D"/>
    <w:rsid w:val="00B8574A"/>
    <w:rsid w:val="00B90B77"/>
    <w:rsid w:val="00BA2840"/>
    <w:rsid w:val="00BA7AEA"/>
    <w:rsid w:val="00BB041A"/>
    <w:rsid w:val="00BC02F2"/>
    <w:rsid w:val="00BC0DA9"/>
    <w:rsid w:val="00BC1D3B"/>
    <w:rsid w:val="00BE07C3"/>
    <w:rsid w:val="00BF0D0E"/>
    <w:rsid w:val="00BF5F42"/>
    <w:rsid w:val="00C0028F"/>
    <w:rsid w:val="00C12ED4"/>
    <w:rsid w:val="00C278D3"/>
    <w:rsid w:val="00C37D60"/>
    <w:rsid w:val="00C422F8"/>
    <w:rsid w:val="00C42B39"/>
    <w:rsid w:val="00C44112"/>
    <w:rsid w:val="00C513AF"/>
    <w:rsid w:val="00C5282F"/>
    <w:rsid w:val="00C53706"/>
    <w:rsid w:val="00C71DC7"/>
    <w:rsid w:val="00C801E6"/>
    <w:rsid w:val="00C815E2"/>
    <w:rsid w:val="00C82A85"/>
    <w:rsid w:val="00C865F1"/>
    <w:rsid w:val="00C91344"/>
    <w:rsid w:val="00CB6A44"/>
    <w:rsid w:val="00CC6A9F"/>
    <w:rsid w:val="00CF3F1E"/>
    <w:rsid w:val="00D21804"/>
    <w:rsid w:val="00D21BB8"/>
    <w:rsid w:val="00D22C53"/>
    <w:rsid w:val="00D2787B"/>
    <w:rsid w:val="00D509CF"/>
    <w:rsid w:val="00D74CEC"/>
    <w:rsid w:val="00D806F5"/>
    <w:rsid w:val="00D8093C"/>
    <w:rsid w:val="00D81FD5"/>
    <w:rsid w:val="00D86123"/>
    <w:rsid w:val="00D8661A"/>
    <w:rsid w:val="00D910A6"/>
    <w:rsid w:val="00DA2A8B"/>
    <w:rsid w:val="00DA6055"/>
    <w:rsid w:val="00DB661D"/>
    <w:rsid w:val="00DC6C88"/>
    <w:rsid w:val="00DC71A4"/>
    <w:rsid w:val="00DF3A7F"/>
    <w:rsid w:val="00DF73B7"/>
    <w:rsid w:val="00E11652"/>
    <w:rsid w:val="00E152D0"/>
    <w:rsid w:val="00E17534"/>
    <w:rsid w:val="00E227BF"/>
    <w:rsid w:val="00E575E6"/>
    <w:rsid w:val="00E706E4"/>
    <w:rsid w:val="00E72C4E"/>
    <w:rsid w:val="00E736B2"/>
    <w:rsid w:val="00E73F16"/>
    <w:rsid w:val="00E905F6"/>
    <w:rsid w:val="00EA5966"/>
    <w:rsid w:val="00EB43B0"/>
    <w:rsid w:val="00EC5703"/>
    <w:rsid w:val="00ED0157"/>
    <w:rsid w:val="00ED5B92"/>
    <w:rsid w:val="00EF5B72"/>
    <w:rsid w:val="00F02F58"/>
    <w:rsid w:val="00F148C5"/>
    <w:rsid w:val="00F15876"/>
    <w:rsid w:val="00F21D0F"/>
    <w:rsid w:val="00F25A5F"/>
    <w:rsid w:val="00F50982"/>
    <w:rsid w:val="00F51BF8"/>
    <w:rsid w:val="00F53990"/>
    <w:rsid w:val="00F83A63"/>
    <w:rsid w:val="00F86080"/>
    <w:rsid w:val="00FB43B0"/>
    <w:rsid w:val="00FE0E8E"/>
    <w:rsid w:val="00FE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AC5ED2"/>
  <w15:chartTrackingRefBased/>
  <w15:docId w15:val="{2AD49471-0D0A-4F7C-B3A9-69A71B53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C09E6"/>
    <w:pPr>
      <w:keepNext/>
      <w:keepLines/>
      <w:spacing w:after="0"/>
      <w:ind w:right="385"/>
      <w:jc w:val="center"/>
      <w:outlineLvl w:val="0"/>
    </w:pPr>
    <w:rPr>
      <w:rFonts w:ascii="Calibri" w:eastAsia="Calibri" w:hAnsi="Calibri" w:cs="Calibri"/>
      <w:b/>
      <w:color w:val="0062C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0B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C0B4C"/>
    <w:rPr>
      <w:rFonts w:ascii="Arial" w:eastAsia="Arial" w:hAnsi="Arial" w:cs="Arial"/>
      <w:sz w:val="20"/>
      <w:szCs w:val="20"/>
    </w:rPr>
  </w:style>
  <w:style w:type="character" w:styleId="CommentReference">
    <w:name w:val="annotation reference"/>
    <w:basedOn w:val="DefaultParagraphFont"/>
    <w:uiPriority w:val="99"/>
    <w:semiHidden/>
    <w:unhideWhenUsed/>
    <w:rsid w:val="00015FF8"/>
    <w:rPr>
      <w:sz w:val="16"/>
      <w:szCs w:val="16"/>
    </w:rPr>
  </w:style>
  <w:style w:type="paragraph" w:styleId="CommentText">
    <w:name w:val="annotation text"/>
    <w:basedOn w:val="Normal"/>
    <w:link w:val="CommentTextChar"/>
    <w:uiPriority w:val="99"/>
    <w:semiHidden/>
    <w:unhideWhenUsed/>
    <w:rsid w:val="00015FF8"/>
    <w:pPr>
      <w:spacing w:line="240" w:lineRule="auto"/>
    </w:pPr>
    <w:rPr>
      <w:sz w:val="20"/>
      <w:szCs w:val="20"/>
    </w:rPr>
  </w:style>
  <w:style w:type="character" w:customStyle="1" w:styleId="CommentTextChar">
    <w:name w:val="Comment Text Char"/>
    <w:basedOn w:val="DefaultParagraphFont"/>
    <w:link w:val="CommentText"/>
    <w:uiPriority w:val="99"/>
    <w:semiHidden/>
    <w:rsid w:val="00015FF8"/>
    <w:rPr>
      <w:sz w:val="20"/>
      <w:szCs w:val="20"/>
    </w:rPr>
  </w:style>
  <w:style w:type="paragraph" w:styleId="BalloonText">
    <w:name w:val="Balloon Text"/>
    <w:basedOn w:val="Normal"/>
    <w:link w:val="BalloonTextChar"/>
    <w:uiPriority w:val="99"/>
    <w:semiHidden/>
    <w:unhideWhenUsed/>
    <w:rsid w:val="00015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F8"/>
    <w:rPr>
      <w:rFonts w:ascii="Segoe UI" w:hAnsi="Segoe UI" w:cs="Segoe UI"/>
      <w:sz w:val="18"/>
      <w:szCs w:val="18"/>
    </w:rPr>
  </w:style>
  <w:style w:type="paragraph" w:styleId="Header">
    <w:name w:val="header"/>
    <w:basedOn w:val="Normal"/>
    <w:link w:val="HeaderChar"/>
    <w:uiPriority w:val="99"/>
    <w:unhideWhenUsed/>
    <w:rsid w:val="00EF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72"/>
  </w:style>
  <w:style w:type="paragraph" w:styleId="Footer">
    <w:name w:val="footer"/>
    <w:basedOn w:val="Normal"/>
    <w:link w:val="FooterChar"/>
    <w:uiPriority w:val="99"/>
    <w:unhideWhenUsed/>
    <w:rsid w:val="00EF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72"/>
  </w:style>
  <w:style w:type="paragraph" w:styleId="NormalWeb">
    <w:name w:val="Normal (Web)"/>
    <w:basedOn w:val="Normal"/>
    <w:uiPriority w:val="99"/>
    <w:unhideWhenUsed/>
    <w:rsid w:val="000C0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9E6"/>
    <w:rPr>
      <w:b/>
      <w:bCs/>
    </w:rPr>
  </w:style>
  <w:style w:type="character" w:styleId="Emphasis">
    <w:name w:val="Emphasis"/>
    <w:basedOn w:val="DefaultParagraphFont"/>
    <w:uiPriority w:val="20"/>
    <w:qFormat/>
    <w:rsid w:val="000C09E6"/>
    <w:rPr>
      <w:i/>
      <w:iCs/>
    </w:rPr>
  </w:style>
  <w:style w:type="character" w:customStyle="1" w:styleId="Heading1Char">
    <w:name w:val="Heading 1 Char"/>
    <w:basedOn w:val="DefaultParagraphFont"/>
    <w:link w:val="Heading1"/>
    <w:uiPriority w:val="9"/>
    <w:rsid w:val="000C09E6"/>
    <w:rPr>
      <w:rFonts w:ascii="Calibri" w:eastAsia="Calibri" w:hAnsi="Calibri" w:cs="Calibri"/>
      <w:b/>
      <w:color w:val="0062C8"/>
      <w:sz w:val="28"/>
    </w:rPr>
  </w:style>
  <w:style w:type="character" w:styleId="Hyperlink">
    <w:name w:val="Hyperlink"/>
    <w:basedOn w:val="DefaultParagraphFont"/>
    <w:uiPriority w:val="99"/>
    <w:unhideWhenUsed/>
    <w:rsid w:val="0070126B"/>
    <w:rPr>
      <w:color w:val="0563C1"/>
      <w:u w:val="single"/>
    </w:rPr>
  </w:style>
  <w:style w:type="character" w:styleId="FollowedHyperlink">
    <w:name w:val="FollowedHyperlink"/>
    <w:basedOn w:val="DefaultParagraphFont"/>
    <w:uiPriority w:val="99"/>
    <w:semiHidden/>
    <w:unhideWhenUsed/>
    <w:rsid w:val="004A07C4"/>
    <w:rPr>
      <w:color w:val="954F72" w:themeColor="followedHyperlink"/>
      <w:u w:val="single"/>
    </w:rPr>
  </w:style>
  <w:style w:type="paragraph" w:styleId="ListParagraph">
    <w:name w:val="List Paragraph"/>
    <w:basedOn w:val="Normal"/>
    <w:uiPriority w:val="34"/>
    <w:qFormat/>
    <w:rsid w:val="00E72C4E"/>
    <w:pPr>
      <w:spacing w:after="0" w:line="240" w:lineRule="auto"/>
      <w:ind w:left="720"/>
      <w:contextualSpacing/>
    </w:pPr>
    <w:rPr>
      <w:sz w:val="24"/>
      <w:szCs w:val="24"/>
    </w:rPr>
  </w:style>
  <w:style w:type="paragraph" w:styleId="CommentSubject">
    <w:name w:val="annotation subject"/>
    <w:basedOn w:val="CommentText"/>
    <w:next w:val="CommentText"/>
    <w:link w:val="CommentSubjectChar"/>
    <w:uiPriority w:val="99"/>
    <w:semiHidden/>
    <w:unhideWhenUsed/>
    <w:rsid w:val="00385023"/>
    <w:rPr>
      <w:b/>
      <w:bCs/>
    </w:rPr>
  </w:style>
  <w:style w:type="character" w:customStyle="1" w:styleId="CommentSubjectChar">
    <w:name w:val="Comment Subject Char"/>
    <w:basedOn w:val="CommentTextChar"/>
    <w:link w:val="CommentSubject"/>
    <w:uiPriority w:val="99"/>
    <w:semiHidden/>
    <w:rsid w:val="00385023"/>
    <w:rPr>
      <w:b/>
      <w:bCs/>
      <w:sz w:val="20"/>
      <w:szCs w:val="20"/>
    </w:rPr>
  </w:style>
  <w:style w:type="paragraph" w:styleId="Revision">
    <w:name w:val="Revision"/>
    <w:hidden/>
    <w:uiPriority w:val="99"/>
    <w:semiHidden/>
    <w:rsid w:val="003B4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27">
      <w:bodyDiv w:val="1"/>
      <w:marLeft w:val="0"/>
      <w:marRight w:val="0"/>
      <w:marTop w:val="0"/>
      <w:marBottom w:val="0"/>
      <w:divBdr>
        <w:top w:val="none" w:sz="0" w:space="0" w:color="auto"/>
        <w:left w:val="none" w:sz="0" w:space="0" w:color="auto"/>
        <w:bottom w:val="none" w:sz="0" w:space="0" w:color="auto"/>
        <w:right w:val="none" w:sz="0" w:space="0" w:color="auto"/>
      </w:divBdr>
    </w:div>
    <w:div w:id="53353097">
      <w:bodyDiv w:val="1"/>
      <w:marLeft w:val="0"/>
      <w:marRight w:val="0"/>
      <w:marTop w:val="0"/>
      <w:marBottom w:val="0"/>
      <w:divBdr>
        <w:top w:val="none" w:sz="0" w:space="0" w:color="auto"/>
        <w:left w:val="none" w:sz="0" w:space="0" w:color="auto"/>
        <w:bottom w:val="none" w:sz="0" w:space="0" w:color="auto"/>
        <w:right w:val="none" w:sz="0" w:space="0" w:color="auto"/>
      </w:divBdr>
    </w:div>
    <w:div w:id="293218935">
      <w:bodyDiv w:val="1"/>
      <w:marLeft w:val="0"/>
      <w:marRight w:val="0"/>
      <w:marTop w:val="0"/>
      <w:marBottom w:val="0"/>
      <w:divBdr>
        <w:top w:val="none" w:sz="0" w:space="0" w:color="auto"/>
        <w:left w:val="none" w:sz="0" w:space="0" w:color="auto"/>
        <w:bottom w:val="none" w:sz="0" w:space="0" w:color="auto"/>
        <w:right w:val="none" w:sz="0" w:space="0" w:color="auto"/>
      </w:divBdr>
    </w:div>
    <w:div w:id="355233998">
      <w:bodyDiv w:val="1"/>
      <w:marLeft w:val="0"/>
      <w:marRight w:val="0"/>
      <w:marTop w:val="0"/>
      <w:marBottom w:val="0"/>
      <w:divBdr>
        <w:top w:val="none" w:sz="0" w:space="0" w:color="auto"/>
        <w:left w:val="none" w:sz="0" w:space="0" w:color="auto"/>
        <w:bottom w:val="none" w:sz="0" w:space="0" w:color="auto"/>
        <w:right w:val="none" w:sz="0" w:space="0" w:color="auto"/>
      </w:divBdr>
    </w:div>
    <w:div w:id="506990735">
      <w:bodyDiv w:val="1"/>
      <w:marLeft w:val="0"/>
      <w:marRight w:val="0"/>
      <w:marTop w:val="0"/>
      <w:marBottom w:val="0"/>
      <w:divBdr>
        <w:top w:val="none" w:sz="0" w:space="0" w:color="auto"/>
        <w:left w:val="none" w:sz="0" w:space="0" w:color="auto"/>
        <w:bottom w:val="none" w:sz="0" w:space="0" w:color="auto"/>
        <w:right w:val="none" w:sz="0" w:space="0" w:color="auto"/>
      </w:divBdr>
    </w:div>
    <w:div w:id="515264655">
      <w:bodyDiv w:val="1"/>
      <w:marLeft w:val="0"/>
      <w:marRight w:val="0"/>
      <w:marTop w:val="0"/>
      <w:marBottom w:val="0"/>
      <w:divBdr>
        <w:top w:val="none" w:sz="0" w:space="0" w:color="auto"/>
        <w:left w:val="none" w:sz="0" w:space="0" w:color="auto"/>
        <w:bottom w:val="none" w:sz="0" w:space="0" w:color="auto"/>
        <w:right w:val="none" w:sz="0" w:space="0" w:color="auto"/>
      </w:divBdr>
    </w:div>
    <w:div w:id="748387274">
      <w:bodyDiv w:val="1"/>
      <w:marLeft w:val="0"/>
      <w:marRight w:val="0"/>
      <w:marTop w:val="0"/>
      <w:marBottom w:val="0"/>
      <w:divBdr>
        <w:top w:val="none" w:sz="0" w:space="0" w:color="auto"/>
        <w:left w:val="none" w:sz="0" w:space="0" w:color="auto"/>
        <w:bottom w:val="none" w:sz="0" w:space="0" w:color="auto"/>
        <w:right w:val="none" w:sz="0" w:space="0" w:color="auto"/>
      </w:divBdr>
    </w:div>
    <w:div w:id="751899237">
      <w:bodyDiv w:val="1"/>
      <w:marLeft w:val="0"/>
      <w:marRight w:val="0"/>
      <w:marTop w:val="0"/>
      <w:marBottom w:val="0"/>
      <w:divBdr>
        <w:top w:val="none" w:sz="0" w:space="0" w:color="auto"/>
        <w:left w:val="none" w:sz="0" w:space="0" w:color="auto"/>
        <w:bottom w:val="none" w:sz="0" w:space="0" w:color="auto"/>
        <w:right w:val="none" w:sz="0" w:space="0" w:color="auto"/>
      </w:divBdr>
    </w:div>
    <w:div w:id="1240019806">
      <w:bodyDiv w:val="1"/>
      <w:marLeft w:val="0"/>
      <w:marRight w:val="0"/>
      <w:marTop w:val="0"/>
      <w:marBottom w:val="0"/>
      <w:divBdr>
        <w:top w:val="none" w:sz="0" w:space="0" w:color="auto"/>
        <w:left w:val="none" w:sz="0" w:space="0" w:color="auto"/>
        <w:bottom w:val="none" w:sz="0" w:space="0" w:color="auto"/>
        <w:right w:val="none" w:sz="0" w:space="0" w:color="auto"/>
      </w:divBdr>
    </w:div>
    <w:div w:id="1388409647">
      <w:bodyDiv w:val="1"/>
      <w:marLeft w:val="0"/>
      <w:marRight w:val="0"/>
      <w:marTop w:val="0"/>
      <w:marBottom w:val="0"/>
      <w:divBdr>
        <w:top w:val="none" w:sz="0" w:space="0" w:color="auto"/>
        <w:left w:val="none" w:sz="0" w:space="0" w:color="auto"/>
        <w:bottom w:val="none" w:sz="0" w:space="0" w:color="auto"/>
        <w:right w:val="none" w:sz="0" w:space="0" w:color="auto"/>
      </w:divBdr>
    </w:div>
    <w:div w:id="1610970221">
      <w:bodyDiv w:val="1"/>
      <w:marLeft w:val="0"/>
      <w:marRight w:val="0"/>
      <w:marTop w:val="0"/>
      <w:marBottom w:val="0"/>
      <w:divBdr>
        <w:top w:val="none" w:sz="0" w:space="0" w:color="auto"/>
        <w:left w:val="none" w:sz="0" w:space="0" w:color="auto"/>
        <w:bottom w:val="none" w:sz="0" w:space="0" w:color="auto"/>
        <w:right w:val="none" w:sz="0" w:space="0" w:color="auto"/>
      </w:divBdr>
    </w:div>
    <w:div w:id="1680304447">
      <w:bodyDiv w:val="1"/>
      <w:marLeft w:val="0"/>
      <w:marRight w:val="0"/>
      <w:marTop w:val="0"/>
      <w:marBottom w:val="0"/>
      <w:divBdr>
        <w:top w:val="none" w:sz="0" w:space="0" w:color="auto"/>
        <w:left w:val="none" w:sz="0" w:space="0" w:color="auto"/>
        <w:bottom w:val="none" w:sz="0" w:space="0" w:color="auto"/>
        <w:right w:val="none" w:sz="0" w:space="0" w:color="auto"/>
      </w:divBdr>
    </w:div>
    <w:div w:id="1835560658">
      <w:bodyDiv w:val="1"/>
      <w:marLeft w:val="0"/>
      <w:marRight w:val="0"/>
      <w:marTop w:val="0"/>
      <w:marBottom w:val="0"/>
      <w:divBdr>
        <w:top w:val="none" w:sz="0" w:space="0" w:color="auto"/>
        <w:left w:val="none" w:sz="0" w:space="0" w:color="auto"/>
        <w:bottom w:val="none" w:sz="0" w:space="0" w:color="auto"/>
        <w:right w:val="none" w:sz="0" w:space="0" w:color="auto"/>
      </w:divBdr>
    </w:div>
    <w:div w:id="20453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Orlando Utilities Commission</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Boslet, Mike</dc:creator>
  <cp:keywords/>
  <dc:description/>
  <cp:lastModifiedBy>Microsoft Office User</cp:lastModifiedBy>
  <cp:revision>4</cp:revision>
  <cp:lastPrinted>2022-12-21T15:09:00Z</cp:lastPrinted>
  <dcterms:created xsi:type="dcterms:W3CDTF">2023-07-21T19:58:00Z</dcterms:created>
  <dcterms:modified xsi:type="dcterms:W3CDTF">2023-08-21T15:42:00Z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32e5868a4bdede126a10d359ac1b298f3973200f78b726a4fea6c9f6a5936d20</vt:lpwstr>
  </property>
</Properties>
</file>